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360"/>
      </w:pPr>
    </w:p>
    <w:p>
      <w:pPr>
        <w:pStyle w:val="Kicker"/>
        <w:jc w:val="center"/>
      </w:pPr>
      <w:r>
        <w:t>RESEARCH RESOURCE BRIEF</w:t>
      </w:r>
    </w:p>
    <w:p>
      <w:pPr>
        <w:spacing w:after="200"/>
        <w:jc w:val="center"/>
      </w:pPr>
      <w:r>
        <w:rPr>
          <w:rFonts w:ascii="Calibri" w:hAnsi="Calibri"/>
          <w:b/>
          <w:color w:val="0B2545"/>
          <w:sz w:val="60"/>
        </w:rPr>
        <w:t>Better, Not More</w:t>
      </w:r>
    </w:p>
    <w:p>
      <w:pPr>
        <w:pStyle w:val="DeckSubtitle"/>
        <w:jc w:val="center"/>
      </w:pPr>
      <w:r>
        <w:t>AI Skills for Experimental Research</w:t>
      </w:r>
    </w:p>
    <w:p>
      <w:pPr>
        <w:spacing w:before="440" w:after="120"/>
        <w:jc w:val="center"/>
      </w:pPr>
      <w:r>
        <w:rPr>
          <w:rFonts w:ascii="Calibri" w:hAnsi="Calibri"/>
          <w:i/>
          <w:color w:val="555555"/>
          <w:sz w:val="22"/>
        </w:rPr>
        <w:t>A structured summary of the CFXS research-skill library</w:t>
      </w:r>
    </w:p>
    <w:p>
      <w:pPr>
        <w:spacing w:before="920" w:after="200"/>
        <w:jc w:val="center"/>
      </w:pPr>
      <w:r>
        <w:rPr>
          <w:rFonts w:ascii="Calibri" w:hAnsi="Calibri"/>
          <w:b/>
          <w:color w:val="555555"/>
          <w:sz w:val="20"/>
        </w:rPr>
        <w:t>Reviewed 7 August 2026</w:t>
      </w:r>
    </w:p>
    <w:p>
      <w:pPr>
        <w:jc w:val="center"/>
      </w:pPr>
      <w:hyperlink r:id="rId11">
        <w:r>
          <w:rPr>
            <w:rFonts w:ascii="Calibri" w:hAnsi="Calibri"/>
            <w:color w:val="1155CC"/>
            <w:sz w:val="22"/>
            <w:u w:val="single"/>
          </w:rPr>
          <w:t>better-not-more-ai.lovable.app</w:t>
        </w:r>
      </w:hyperlink>
    </w:p>
    <w:p>
      <w:r>
        <w:br w:type="page"/>
      </w:r>
    </w:p>
    <w:p>
      <w:pPr>
        <w:pStyle w:val="Heading1"/>
        <w:keepNext/>
      </w:pPr>
      <w:r>
        <w:t>Executive summary</w:t>
      </w:r>
    </w:p>
    <w:p>
      <w:r>
        <w:t>Better, Not More is a public library of reusable AI skill files created through the Conference on Field Experiments in Strategy (CFXS) AI Workshop at Duke University DC. Its central premise is that AI should improve the quality of research decisions—not merely increase the volume of papers, drafts, or analyses. Each skill is a plain-Markdown instruction file that attempts to encode a researcher’s judgment, workflow, and tacit knowledge so an AI agent can perform a specialized research task more thoughtfully.</w:t>
      </w:r>
    </w:p>
    <w:p>
      <w:r>
        <w:t>At the time reviewed, the site contained 18 contributed skills. They span research framing, literature positioning, pre-launch design review, construct validity, hypothesis selection, project auditing, data provenance, analysis of text outcomes, statistical power, journal introductions, manuscript formatting, and proposal development. The collection is rooted in field experiments but is intended to help other forms of empirical research as well.</w:t>
      </w:r>
    </w:p>
    <w:p>
      <w:pPr>
        <w:spacing w:before="160" w:after="240" w:line="288" w:lineRule="auto"/>
        <w:ind w:left="216" w:right="144"/>
        <w:shd w:fill="F4F6F9"/>
        <w:pBdr>
          <w:left w:val="single" w:sz="18" w:space="8" w:color="2E74B5"/>
        </w:pBdr>
      </w:pPr>
      <w:r>
        <w:rPr>
          <w:rFonts w:ascii="Calibri" w:hAnsi="Calibri"/>
          <w:b/>
          <w:color w:val="0B2545"/>
        </w:rPr>
        <w:t xml:space="preserve">Core takeaway. </w:t>
      </w:r>
      <w:r>
        <w:t>The library treats a skill file as a portable form of expert judgment: a way to make an AI collaborator more disciplined at a specific research task, rather than simply more productive.</w:t>
      </w:r>
    </w:p>
    <w:p>
      <w:pPr>
        <w:pStyle w:val="Heading1"/>
        <w:keepNext/>
      </w:pPr>
      <w:r>
        <w:t>What the resource provides</w:t>
      </w:r>
    </w:p>
    <w:p>
      <w:pPr>
        <w:spacing w:after="80" w:line="300" w:lineRule="auto"/>
        <w:numPr>
          <w:ilvl w:val="0"/>
          <w:numId w:val="10"/>
        </w:numPr>
      </w:pPr>
      <w:r>
        <w:rPr>
          <w:b/>
        </w:rPr>
        <w:t xml:space="preserve">Portable expertise. </w:t>
      </w:r>
      <w:r>
        <w:t>Skills are Markdown files designed to work across agentic tools such as Codex, Claude Code, Cursor, and similar systems.</w:t>
      </w:r>
    </w:p>
    <w:p>
      <w:pPr>
        <w:spacing w:after="80" w:line="300" w:lineRule="auto"/>
        <w:numPr>
          <w:ilvl w:val="0"/>
          <w:numId w:val="10"/>
        </w:numPr>
      </w:pPr>
      <w:r>
        <w:rPr>
          <w:b/>
        </w:rPr>
        <w:t xml:space="preserve">A research lifecycle focus. </w:t>
      </w:r>
      <w:r>
        <w:t>The catalog covers activities from idea formation and literature mapping through experimental design, analysis, writing, and submission preparation.</w:t>
      </w:r>
    </w:p>
    <w:p>
      <w:pPr>
        <w:spacing w:after="80" w:line="300" w:lineRule="auto"/>
        <w:numPr>
          <w:ilvl w:val="0"/>
          <w:numId w:val="10"/>
        </w:numPr>
      </w:pPr>
      <w:r>
        <w:rPr>
          <w:b/>
        </w:rPr>
        <w:t xml:space="preserve">Direct reuse. </w:t>
      </w:r>
      <w:r>
        <w:t>Visitors can search and sort the catalog, copy individual skill content, download a Markdown file, or download the full library.</w:t>
      </w:r>
    </w:p>
    <w:p>
      <w:pPr>
        <w:spacing w:after="80" w:line="300" w:lineRule="auto"/>
        <w:numPr>
          <w:ilvl w:val="0"/>
          <w:numId w:val="10"/>
        </w:numPr>
      </w:pPr>
      <w:r>
        <w:rPr>
          <w:b/>
        </w:rPr>
        <w:t xml:space="preserve">Community contribution. </w:t>
      </w:r>
      <w:r>
        <w:t>Researchers can submit additional skills, making the site a shared and evolving public good.</w:t>
      </w:r>
    </w:p>
    <w:p>
      <w:pPr>
        <w:spacing w:after="80" w:line="300" w:lineRule="auto"/>
        <w:numPr>
          <w:ilvl w:val="0"/>
          <w:numId w:val="10"/>
        </w:numPr>
      </w:pPr>
      <w:r>
        <w:rPr>
          <w:b/>
        </w:rPr>
        <w:t xml:space="preserve">Transparent scope. </w:t>
      </w:r>
      <w:r>
        <w:t>The library openly reflects its field-experiment origins while noting that many workflows should transfer to other research settings.</w:t>
      </w:r>
    </w:p>
    <w:p>
      <w:pPr>
        <w:pStyle w:val="Heading1"/>
        <w:keepNext/>
      </w:pPr>
      <w:r>
        <w:t>How the collection improves research work</w:t>
      </w:r>
    </w:p>
    <w:p>
      <w:pPr>
        <w:spacing w:after="80" w:line="300" w:lineRule="auto"/>
        <w:numPr>
          <w:ilvl w:val="0"/>
          <w:numId w:val="11"/>
        </w:numPr>
      </w:pPr>
      <w:r>
        <w:t>1. Frame a meaningful question: Generate and refine research ideas, identify relevant conversations across fields, and turn early concepts into structured proposals or canvases.</w:t>
      </w:r>
    </w:p>
    <w:p>
      <w:pPr>
        <w:spacing w:after="80" w:line="300" w:lineRule="auto"/>
        <w:numPr>
          <w:ilvl w:val="0"/>
          <w:numId w:val="11"/>
        </w:numPr>
      </w:pPr>
      <w:r>
        <w:t>2. Stress-test before launch: Check whether treatments map cleanly to constructs, whether rival hypotheses are distinguishable, whether qualitative fieldwork supports the planned design, and whether fatal validity or power problems remain.</w:t>
      </w:r>
    </w:p>
    <w:p>
      <w:pPr>
        <w:spacing w:after="80" w:line="300" w:lineRule="auto"/>
        <w:numPr>
          <w:ilvl w:val="0"/>
          <w:numId w:val="11"/>
        </w:numPr>
      </w:pPr>
      <w:r>
        <w:t>3. Make execution auditable: Trace data construction, recover project history, document sample-selection decisions, and choose analysis strategies appropriate to outcomes and design constraints.</w:t>
      </w:r>
    </w:p>
    <w:p>
      <w:pPr>
        <w:spacing w:after="80" w:line="300" w:lineRule="auto"/>
        <w:numPr>
          <w:ilvl w:val="0"/>
          <w:numId w:val="11"/>
        </w:numPr>
      </w:pPr>
      <w:r>
        <w:t>4. Communicate for scholarly audiences: Develop a sharper introduction, assess journal fit and formatting, and surface weaknesses before fielding or submission.</w:t>
      </w:r>
    </w:p>
    <w:p>
      <w:pPr>
        <w:pStyle w:val="Heading1"/>
        <w:keepNext/>
      </w:pPr>
      <w:r>
        <w:t>Catalog of the 18 contributed skills</w:t>
      </w:r>
    </w:p>
    <w:p>
      <w:r>
        <w:t>The catalog includes overlapping or parallel contributions with similar titles. They are retained as separate entries because they encode different workflows, emphases, or contributor judgments.</w:t>
      </w:r>
    </w:p>
    <w:p>
      <w:pPr>
        <w:pStyle w:val="Heading2"/>
        <w:keepNext/>
      </w:pPr>
      <w:r>
        <w:t>Research framing, positioning, and proposal development</w:t>
      </w:r>
    </w:p>
    <w:p>
      <w:pPr>
        <w:spacing w:after="80" w:line="300" w:lineRule="auto"/>
        <w:numPr>
          <w:ilvl w:val="0"/>
          <w:numId w:val="10"/>
        </w:numPr>
      </w:pPr>
      <w:r>
        <w:rPr>
          <w:b/>
        </w:rPr>
        <w:t xml:space="preserve">enter_the_convo — </w:t>
      </w:r>
      <w:r>
        <w:t>Maps a claim into the existing literature through terminology checks, relevance scoring, faculty overlap, and framing options.</w:t>
      </w:r>
    </w:p>
    <w:p>
      <w:pPr>
        <w:spacing w:after="80" w:line="300" w:lineRule="auto"/>
        <w:numPr>
          <w:ilvl w:val="0"/>
          <w:numId w:val="10"/>
        </w:numPr>
      </w:pPr>
      <w:r>
        <w:rPr>
          <w:b/>
        </w:rPr>
        <w:t xml:space="preserve">Adjacent literature review — </w:t>
      </w:r>
      <w:r>
        <w:t>Translates field-specific jargon into underlying mechanisms to find useful work in other disciplines.</w:t>
      </w:r>
    </w:p>
    <w:p>
      <w:pPr>
        <w:spacing w:after="80" w:line="300" w:lineRule="auto"/>
        <w:numPr>
          <w:ilvl w:val="0"/>
          <w:numId w:val="10"/>
        </w:numPr>
      </w:pPr>
      <w:r>
        <w:rPr>
          <w:b/>
        </w:rPr>
        <w:t xml:space="preserve">Make an good paper idea for our team — </w:t>
      </w:r>
      <w:r>
        <w:t>Generates, critiques, and refines field-experiment concepts into empirical paper plans.</w:t>
      </w:r>
    </w:p>
    <w:p>
      <w:pPr>
        <w:spacing w:after="80" w:line="300" w:lineRule="auto"/>
        <w:numPr>
          <w:ilvl w:val="0"/>
          <w:numId w:val="10"/>
        </w:numPr>
      </w:pPr>
      <w:r>
        <w:rPr>
          <w:b/>
        </w:rPr>
        <w:t xml:space="preserve">Proposal Generator — </w:t>
      </w:r>
      <w:r>
        <w:t>Moves rough social-science or management ideas through staged mentor-style gates toward a structured study proposal.</w:t>
      </w:r>
    </w:p>
    <w:p>
      <w:pPr>
        <w:spacing w:after="80" w:line="300" w:lineRule="auto"/>
        <w:numPr>
          <w:ilvl w:val="0"/>
          <w:numId w:val="10"/>
        </w:numPr>
      </w:pPr>
      <w:r>
        <w:rPr>
          <w:b/>
        </w:rPr>
        <w:t xml:space="preserve">Strategy Experiment Canvas — </w:t>
      </w:r>
      <w:r>
        <w:t>Interviews a researcher to build and critique a field-experiment canvas without inventing the substantive research content.</w:t>
      </w:r>
    </w:p>
    <w:p>
      <w:pPr>
        <w:spacing w:after="80" w:line="300" w:lineRule="auto"/>
        <w:numPr>
          <w:ilvl w:val="0"/>
          <w:numId w:val="10"/>
        </w:numPr>
      </w:pPr>
      <w:r>
        <w:rPr>
          <w:b/>
        </w:rPr>
        <w:t xml:space="preserve">Strategy Experiment Canvas Generator — </w:t>
      </w:r>
      <w:r>
        <w:t>Organizes an idea into the eight Strategy Experiment Canvas boxes: setup, subjects, friction, insight, intervention, mechanism, comparison group, and business impact.</w:t>
      </w:r>
    </w:p>
    <w:p>
      <w:pPr>
        <w:pStyle w:val="Heading2"/>
        <w:keepNext/>
      </w:pPr>
      <w:r>
        <w:t>Pre-launch design and validity checks</w:t>
      </w:r>
    </w:p>
    <w:p>
      <w:pPr>
        <w:spacing w:after="80" w:line="300" w:lineRule="auto"/>
        <w:numPr>
          <w:ilvl w:val="0"/>
          <w:numId w:val="10"/>
        </w:numPr>
      </w:pPr>
      <w:r>
        <w:rPr>
          <w:b/>
        </w:rPr>
        <w:t xml:space="preserve">Pre Flight — </w:t>
      </w:r>
      <w:r>
        <w:t>Compares study plans with qualitative pre-experiment interviews to locate missing constructs, causal tensions, and measurement gaps.</w:t>
      </w:r>
    </w:p>
    <w:p>
      <w:pPr>
        <w:spacing w:after="80" w:line="300" w:lineRule="auto"/>
        <w:numPr>
          <w:ilvl w:val="0"/>
          <w:numId w:val="10"/>
        </w:numPr>
      </w:pPr>
      <w:r>
        <w:rPr>
          <w:b/>
        </w:rPr>
        <w:t xml:space="preserve">Pre-flight — </w:t>
      </w:r>
      <w:r>
        <w:t>A parallel pre-launch audit that checks whether interviews support planned treatments, measures, outcomes, and assumptions.</w:t>
      </w:r>
    </w:p>
    <w:p>
      <w:pPr>
        <w:spacing w:after="80" w:line="300" w:lineRule="auto"/>
        <w:numPr>
          <w:ilvl w:val="0"/>
          <w:numId w:val="10"/>
        </w:numPr>
      </w:pPr>
      <w:r>
        <w:rPr>
          <w:b/>
        </w:rPr>
        <w:t xml:space="preserve">Find out if your experiment is publishable before you run it — </w:t>
      </w:r>
      <w:r>
        <w:t>One contribution uses literature scans and multiple reviewer personas to assess draft strategy papers and abstracts against target-journal expectations.</w:t>
      </w:r>
    </w:p>
    <w:p>
      <w:pPr>
        <w:spacing w:after="80" w:line="300" w:lineRule="auto"/>
        <w:numPr>
          <w:ilvl w:val="0"/>
          <w:numId w:val="10"/>
        </w:numPr>
      </w:pPr>
      <w:r>
        <w:rPr>
          <w:b/>
        </w:rPr>
        <w:t xml:space="preserve">Find out if your experiment is publishable before you run it — </w:t>
      </w:r>
      <w:r>
        <w:t>A second contribution focuses on fatal methodological flaws, power constraints, and threats to validity before resources are committed.</w:t>
      </w:r>
    </w:p>
    <w:p>
      <w:pPr>
        <w:spacing w:after="80" w:line="300" w:lineRule="auto"/>
        <w:numPr>
          <w:ilvl w:val="0"/>
          <w:numId w:val="10"/>
        </w:numPr>
      </w:pPr>
      <w:r>
        <w:rPr>
          <w:b/>
        </w:rPr>
        <w:t xml:space="preserve">Treatment invertibility stress-test — </w:t>
      </w:r>
      <w:r>
        <w:t>Tests whether a treatment uniquely represents its intended theoretical construct and recommends design fixes or control arms when it does not.</w:t>
      </w:r>
    </w:p>
    <w:p>
      <w:pPr>
        <w:spacing w:after="80" w:line="300" w:lineRule="auto"/>
        <w:numPr>
          <w:ilvl w:val="0"/>
          <w:numId w:val="10"/>
        </w:numPr>
      </w:pPr>
      <w:r>
        <w:rPr>
          <w:b/>
        </w:rPr>
        <w:t xml:space="preserve">Hypothesis screener — </w:t>
      </w:r>
      <w:r>
        <w:t>Narrows candidate hypotheses to three distinct and testable rivals using six joint screening criteria.</w:t>
      </w:r>
    </w:p>
    <w:p>
      <w:pPr>
        <w:pStyle w:val="Heading2"/>
        <w:keepNext/>
      </w:pPr>
      <w:r>
        <w:t>Project, data, and analysis workflows</w:t>
      </w:r>
    </w:p>
    <w:p>
      <w:pPr>
        <w:spacing w:after="80" w:line="300" w:lineRule="auto"/>
        <w:numPr>
          <w:ilvl w:val="0"/>
          <w:numId w:val="10"/>
        </w:numPr>
      </w:pPr>
      <w:r>
        <w:rPr>
          <w:b/>
        </w:rPr>
        <w:t xml:space="preserve">What's_happening? — </w:t>
      </w:r>
      <w:r>
        <w:t>Inventories a project folder, reconstructs file lineages, compares code, extracts document content, and reports the project’s chronology and current state.</w:t>
      </w:r>
    </w:p>
    <w:p>
      <w:pPr>
        <w:spacing w:after="80" w:line="300" w:lineRule="auto"/>
        <w:numPr>
          <w:ilvl w:val="0"/>
          <w:numId w:val="10"/>
        </w:numPr>
      </w:pPr>
      <w:r>
        <w:rPr>
          <w:b/>
        </w:rPr>
        <w:t xml:space="preserve">data-pipeline — </w:t>
      </w:r>
      <w:r>
        <w:t>Traces observation counts through loads, merges, and filters to document sample selection and data provenance.</w:t>
      </w:r>
    </w:p>
    <w:p>
      <w:pPr>
        <w:spacing w:after="80" w:line="300" w:lineRule="auto"/>
        <w:numPr>
          <w:ilvl w:val="0"/>
          <w:numId w:val="10"/>
        </w:numPr>
      </w:pPr>
      <w:r>
        <w:rPr>
          <w:b/>
        </w:rPr>
        <w:t xml:space="preserve">Text Outcomes for RCTs — </w:t>
      </w:r>
      <w:r>
        <w:t>Guides analysis of open-ended outcomes through a detection–description–causation workflow.</w:t>
      </w:r>
    </w:p>
    <w:p>
      <w:pPr>
        <w:spacing w:after="80" w:line="300" w:lineRule="auto"/>
        <w:numPr>
          <w:ilvl w:val="0"/>
          <w:numId w:val="10"/>
        </w:numPr>
      </w:pPr>
      <w:r>
        <w:rPr>
          <w:b/>
        </w:rPr>
        <w:t xml:space="preserve">Power Calculations the Development Impact Way — </w:t>
      </w:r>
      <w:r>
        <w:t>Applies David McKenzie’s practical framework to minimum detectable effects, take-up, clustering, measurement, allocation, simulation, and honest reporting.</w:t>
      </w:r>
    </w:p>
    <w:p>
      <w:pPr>
        <w:pStyle w:val="Heading2"/>
        <w:keepNext/>
      </w:pPr>
      <w:r>
        <w:t>Writing and submission support</w:t>
      </w:r>
    </w:p>
    <w:p>
      <w:pPr>
        <w:spacing w:after="80" w:line="300" w:lineRule="auto"/>
        <w:numPr>
          <w:ilvl w:val="0"/>
          <w:numId w:val="10"/>
        </w:numPr>
      </w:pPr>
      <w:r>
        <w:rPr>
          <w:b/>
        </w:rPr>
        <w:t xml:space="preserve">Writing a cool introduction for a top journal from your Field Experiment Canvas (BARNEY AMR EDITORIAL GUIDELINE) — </w:t>
      </w:r>
      <w:r>
        <w:t>Turns a Strategy Experiment Canvas into a three-paragraph journal introduction following Jay Barney’s AMR-oriented guidance.</w:t>
      </w:r>
    </w:p>
    <w:p>
      <w:pPr>
        <w:spacing w:after="80" w:line="300" w:lineRule="auto"/>
        <w:numPr>
          <w:ilvl w:val="0"/>
          <w:numId w:val="10"/>
        </w:numPr>
      </w:pPr>
      <w:r>
        <w:rPr>
          <w:b/>
        </w:rPr>
        <w:t xml:space="preserve">Style Guide Skill — </w:t>
      </w:r>
      <w:r>
        <w:t>Checks manuscripts against live guidelines for management journals and can report or repair formatting without changing the author’s prose.</w:t>
      </w:r>
    </w:p>
    <w:p>
      <w:pPr>
        <w:pStyle w:val="Heading1"/>
        <w:keepNext/>
      </w:pPr>
      <w:r>
        <w:t>Practical use</w:t>
      </w:r>
    </w:p>
    <w:p>
      <w:pPr>
        <w:spacing w:after="80" w:line="300" w:lineRule="auto"/>
        <w:numPr>
          <w:ilvl w:val="0"/>
          <w:numId w:val="11"/>
        </w:numPr>
      </w:pPr>
      <w:r>
        <w:t>Choose a research task where additional judgment or process discipline would improve the result.</w:t>
      </w:r>
    </w:p>
    <w:p>
      <w:pPr>
        <w:spacing w:after="80" w:line="300" w:lineRule="auto"/>
        <w:numPr>
          <w:ilvl w:val="0"/>
          <w:numId w:val="11"/>
        </w:numPr>
      </w:pPr>
      <w:r>
        <w:t>Search or browse the library and read the skill’s stated problem, summary, and workflow before adopting it.</w:t>
      </w:r>
    </w:p>
    <w:p>
      <w:pPr>
        <w:spacing w:after="80" w:line="300" w:lineRule="auto"/>
        <w:numPr>
          <w:ilvl w:val="0"/>
          <w:numId w:val="11"/>
        </w:numPr>
      </w:pPr>
      <w:r>
        <w:t>Copy or download the Markdown skill and place it where the chosen AI agent can load project or personal skills.</w:t>
      </w:r>
    </w:p>
    <w:p>
      <w:pPr>
        <w:spacing w:after="80" w:line="300" w:lineRule="auto"/>
        <w:numPr>
          <w:ilvl w:val="0"/>
          <w:numId w:val="11"/>
        </w:numPr>
      </w:pPr>
      <w:r>
        <w:t>Provide the agent with the actual research materials and constraints; the skill supplies a method, not missing evidence.</w:t>
      </w:r>
    </w:p>
    <w:p>
      <w:pPr>
        <w:spacing w:after="80" w:line="300" w:lineRule="auto"/>
        <w:numPr>
          <w:ilvl w:val="0"/>
          <w:numId w:val="11"/>
        </w:numPr>
      </w:pPr>
      <w:r>
        <w:t>Review the output as a researcher. Check assumptions, citations, calculations, construct validity, and fit with the study context.</w:t>
      </w:r>
    </w:p>
    <w:p>
      <w:pPr>
        <w:spacing w:after="80" w:line="300" w:lineRule="auto"/>
        <w:numPr>
          <w:ilvl w:val="0"/>
          <w:numId w:val="11"/>
        </w:numPr>
      </w:pPr>
      <w:r>
        <w:t>Revise the skill when a team develops better checks or clearer domain judgment, and consider contributing the improved version back to the library.</w:t>
      </w:r>
    </w:p>
    <w:p>
      <w:pPr>
        <w:pStyle w:val="Heading1"/>
        <w:keepNext/>
      </w:pPr>
      <w:r>
        <w:t>Strengths and limitations</w:t>
      </w:r>
    </w:p>
    <w:p>
      <w:pPr>
        <w:spacing w:after="80" w:line="300" w:lineRule="auto"/>
        <w:numPr>
          <w:ilvl w:val="0"/>
          <w:numId w:val="10"/>
        </w:numPr>
      </w:pPr>
      <w:r>
        <w:rPr>
          <w:b/>
        </w:rPr>
        <w:t xml:space="preserve">Strength—modularity. </w:t>
      </w:r>
      <w:r>
        <w:t>Researchers can adopt one focused workflow without changing their entire research stack.</w:t>
      </w:r>
    </w:p>
    <w:p>
      <w:pPr>
        <w:spacing w:after="80" w:line="300" w:lineRule="auto"/>
        <w:numPr>
          <w:ilvl w:val="0"/>
          <w:numId w:val="10"/>
        </w:numPr>
      </w:pPr>
      <w:r>
        <w:rPr>
          <w:b/>
        </w:rPr>
        <w:t xml:space="preserve">Strength—inspectability. </w:t>
      </w:r>
      <w:r>
        <w:t>Markdown instructions can be read, debated, versioned, and adapted rather than hidden behind a proprietary interface.</w:t>
      </w:r>
    </w:p>
    <w:p>
      <w:pPr>
        <w:spacing w:after="80" w:line="300" w:lineRule="auto"/>
        <w:numPr>
          <w:ilvl w:val="0"/>
          <w:numId w:val="10"/>
        </w:numPr>
      </w:pPr>
      <w:r>
        <w:rPr>
          <w:b/>
        </w:rPr>
        <w:t xml:space="preserve">Strength—judgment orientation. </w:t>
      </w:r>
      <w:r>
        <w:t>Many skills emphasize pre-launch critique, explicit assumptions, and research design—not only drafting.</w:t>
      </w:r>
    </w:p>
    <w:p>
      <w:pPr>
        <w:spacing w:after="80" w:line="300" w:lineRule="auto"/>
        <w:numPr>
          <w:ilvl w:val="0"/>
          <w:numId w:val="10"/>
        </w:numPr>
      </w:pPr>
      <w:r>
        <w:rPr>
          <w:b/>
        </w:rPr>
        <w:t xml:space="preserve">Limitation—uneven maturity. </w:t>
      </w:r>
      <w:r>
        <w:t>The catalog is community-authored; entries differ in scope, depth, wording, and overlap.</w:t>
      </w:r>
    </w:p>
    <w:p>
      <w:pPr>
        <w:spacing w:after="80" w:line="300" w:lineRule="auto"/>
        <w:numPr>
          <w:ilvl w:val="0"/>
          <w:numId w:val="10"/>
        </w:numPr>
      </w:pPr>
      <w:r>
        <w:rPr>
          <w:b/>
        </w:rPr>
        <w:t xml:space="preserve">Limitation—use counts are not validation. </w:t>
      </w:r>
      <w:r>
        <w:t>Early usage indicators show engagement, not whether a workflow improves causal identification, reproducibility, or publication outcomes.</w:t>
      </w:r>
    </w:p>
    <w:p>
      <w:pPr>
        <w:spacing w:after="80" w:line="300" w:lineRule="auto"/>
        <w:numPr>
          <w:ilvl w:val="0"/>
          <w:numId w:val="10"/>
        </w:numPr>
      </w:pPr>
      <w:r>
        <w:rPr>
          <w:b/>
        </w:rPr>
        <w:t xml:space="preserve">Limitation—human accountability remains. </w:t>
      </w:r>
      <w:r>
        <w:t>A skill can structure reasoning, but it cannot replace source verification, methodological expertise, ethical review, or responsibility for research decisions.</w:t>
      </w:r>
    </w:p>
    <w:p>
      <w:pPr>
        <w:spacing w:after="80" w:line="300" w:lineRule="auto"/>
        <w:numPr>
          <w:ilvl w:val="0"/>
          <w:numId w:val="10"/>
        </w:numPr>
      </w:pPr>
      <w:r>
        <w:rPr>
          <w:b/>
        </w:rPr>
        <w:t xml:space="preserve">Limitation—the catalog evolves. </w:t>
      </w:r>
      <w:r>
        <w:t>The number of skills, descriptions, contributors, and use counts may change after this review.</w:t>
      </w:r>
    </w:p>
    <w:p>
      <w:pPr>
        <w:pStyle w:val="Heading1"/>
        <w:keepNext/>
      </w:pPr>
      <w:r>
        <w:t>Provenance and related context</w:t>
      </w:r>
    </w:p>
    <w:p>
      <w:r>
        <w:t>The site states that the library was created through the Conference on Field Experiments in Strategy and its AI Workshop at Duke University DC. It frames the exercise as a response to the concern that AI may expand research volume faster than research quality, and it connects the project to the “More versus Better” paper and an Organization Science special-issue conversation.</w:t>
      </w:r>
    </w:p>
    <w:p>
      <w:pPr>
        <w:pStyle w:val="SourceNote"/>
      </w:pPr>
      <w:r>
        <w:t xml:space="preserve">Primary resource: </w:t>
      </w:r>
      <w:hyperlink r:id="rId11">
        <w:r>
          <w:rPr>
            <w:rFonts w:ascii="Calibri" w:hAnsi="Calibri"/>
            <w:color w:val="1155CC"/>
            <w:sz w:val="22"/>
            <w:u w:val="single"/>
          </w:rPr>
          <w:t>Better, Not More: AI Skills for Experimental Research</w:t>
        </w:r>
      </w:hyperlink>
      <w:r>
        <w:t xml:space="preserve"> (library and About page; reviewed 7 August 2026).</w:t>
      </w:r>
    </w:p>
    <w:p>
      <w:pPr>
        <w:pStyle w:val="SourceNote"/>
      </w:pPr>
      <w:r>
        <w:t xml:space="preserve">Related links: </w:t>
      </w:r>
      <w:hyperlink r:id="rId12">
        <w:r>
          <w:rPr>
            <w:rFonts w:ascii="Calibri" w:hAnsi="Calibri"/>
            <w:color w:val="1155CC"/>
            <w:sz w:val="22"/>
            <w:u w:val="single"/>
          </w:rPr>
          <w:t>Conference on Field Experiments in Strategy</w:t>
        </w:r>
      </w:hyperlink>
      <w:r>
        <w:t xml:space="preserve">; </w:t>
      </w:r>
      <w:hyperlink r:id="rId13">
        <w:r>
          <w:rPr>
            <w:rFonts w:ascii="Calibri" w:hAnsi="Calibri"/>
            <w:color w:val="1155CC"/>
            <w:sz w:val="22"/>
            <w:u w:val="single"/>
          </w:rPr>
          <w:t>More versus Better</w:t>
        </w:r>
      </w:hyperlink>
      <w:r>
        <w:t xml:space="preserve">; and </w:t>
      </w:r>
      <w:hyperlink r:id="rId14">
        <w:r>
          <w:rPr>
            <w:rFonts w:ascii="Calibri" w:hAnsi="Calibri"/>
            <w:color w:val="1155CC"/>
            <w:sz w:val="22"/>
            <w:u w:val="single"/>
          </w:rPr>
          <w:t>Organization Science</w:t>
        </w:r>
      </w:hyperlink>
      <w:r>
        <w: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55555"/>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55555"/>
        <w:sz w:val="17"/>
      </w:rPr>
      <w:t>BETTER, NOT MORE  |  RESOURCE SUMMARY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pPr>
    </w:lvl>
  </w:abstractNum>
  <w:num w:numId="10">
    <w:abstractNumId w:val="9"/>
  </w:num>
  <w:abstractNum w:abstractNumId="10">
    <w:multiLevelType w:val="singleLevel"/>
    <w:lvl w:ilvl="0">
      <w:start w:val="1"/>
      <w:numFmt w:val="decimal"/>
      <w:lvlText w:val="%1."/>
      <w:lvlJc w:val="left"/>
      <w:pPr>
        <w:tabs>
          <w:tab w:val="num" w:pos="540"/>
        </w:tabs>
        <w:ind w:left="540" w:hanging="270"/>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280"/>
    </w:pPr>
    <w:rPr>
      <w:rFonts w:ascii="Calibri" w:hAnsi="Calibri"/>
      <w:b/>
      <w:color w:val="7A5A00"/>
      <w:sz w:val="20"/>
    </w:rPr>
  </w:style>
  <w:style w:type="paragraph" w:customStyle="1" w:styleId="DeckSubtitle">
    <w:name w:val="Deck Subtitle"/>
    <w:pPr>
      <w:spacing w:after="360"/>
    </w:pPr>
    <w:rPr>
      <w:rFonts w:ascii="Calibri" w:hAnsi="Calibri"/>
      <w:color w:val="555555"/>
      <w:sz w:val="28"/>
    </w:rPr>
  </w:style>
  <w:style w:type="paragraph" w:customStyle="1" w:styleId="SourceNote">
    <w:name w:val="Source Note"/>
    <w:pPr>
      <w:spacing w:before="80" w:after="80"/>
    </w:pPr>
    <w:rPr>
      <w:rFonts w:ascii="Calibri" w:hAnsi="Calibri"/>
      <w:color w:val="555555"/>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better-not-more-ai.lovable.app/" TargetMode="External"/><Relationship Id="rId12" Type="http://schemas.openxmlformats.org/officeDocument/2006/relationships/hyperlink" Target="https://cfxs.org/" TargetMode="External"/><Relationship Id="rId13" Type="http://schemas.openxmlformats.org/officeDocument/2006/relationships/hyperlink" Target="https://papers.ssrn.com/sol3/papers.cfm?abstract_id=5232889" TargetMode="External"/><Relationship Id="rId14" Type="http://schemas.openxmlformats.org/officeDocument/2006/relationships/hyperlink" Target="https://orgsc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Better, Not More: AI Skills for Experimental Research</dc:title>
  <dc:subject>Summary of the CFXS research skill library</dc:subject>
  <dc:creator/>
  <cp:keywords>AI skills, experimental research, field experiments, CFXS</cp:keywords>
  <dc:description>generated by python-docx</dc:description>
  <cp:lastModifiedBy/>
  <cp:revision>1</cp:revision>
  <dcterms:created xsi:type="dcterms:W3CDTF">2013-12-23T23:15:00Z</dcterms:created>
  <dcterms:modified xsi:type="dcterms:W3CDTF">2013-12-23T23:15:00Z</dcterms:modified>
  <cp:category/>
</cp:coreProperties>
</file>